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7D" w:rsidRPr="00D727FA" w:rsidRDefault="00017974" w:rsidP="00D727FA">
      <w:pPr>
        <w:pStyle w:val="1"/>
      </w:pPr>
      <w:r w:rsidRPr="00D727FA">
        <w:t>Система мониторинга CareSens Dual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0"/>
        <w:gridCol w:w="7070"/>
      </w:tblGrid>
      <w:tr w:rsidR="00057E45" w:rsidRPr="00057E45" w:rsidTr="00C87DF4">
        <w:trPr>
          <w:trHeight w:val="436"/>
        </w:trPr>
        <w:tc>
          <w:tcPr>
            <w:tcW w:w="5000" w:type="pct"/>
            <w:gridSpan w:val="2"/>
          </w:tcPr>
          <w:p w:rsidR="00057E45" w:rsidRPr="00057E45" w:rsidRDefault="00057E45" w:rsidP="00C87DF4">
            <w:pPr>
              <w:spacing w:after="33"/>
              <w:ind w:left="127"/>
              <w:rPr>
                <w:sz w:val="28"/>
                <w:szCs w:val="28"/>
              </w:rPr>
            </w:pPr>
            <w:r w:rsidRPr="00057E45">
              <w:rPr>
                <w:sz w:val="28"/>
                <w:szCs w:val="28"/>
              </w:rPr>
              <w:t>Производитель: i-SENS, Inc. (Республика Корея)</w:t>
            </w:r>
          </w:p>
        </w:tc>
      </w:tr>
      <w:tr w:rsidR="00057E45" w:rsidRPr="007737C2" w:rsidTr="00C87DF4">
        <w:trPr>
          <w:trHeight w:val="299"/>
        </w:trPr>
        <w:tc>
          <w:tcPr>
            <w:tcW w:w="1378" w:type="pct"/>
          </w:tcPr>
          <w:p w:rsidR="00057E45" w:rsidRPr="007737C2" w:rsidRDefault="00057E45" w:rsidP="00C87DF4">
            <w:pPr>
              <w:spacing w:after="33"/>
              <w:ind w:left="127"/>
            </w:pPr>
            <w:r w:rsidRPr="007737C2">
              <w:t>Система мониторинга CareSens Dual</w:t>
            </w:r>
          </w:p>
        </w:tc>
        <w:tc>
          <w:tcPr>
            <w:tcW w:w="3622" w:type="pct"/>
          </w:tcPr>
          <w:p w:rsidR="00057E45" w:rsidRPr="007737C2" w:rsidRDefault="00057E45" w:rsidP="00C87DF4">
            <w:pPr>
              <w:spacing w:after="33"/>
              <w:ind w:left="127"/>
            </w:pPr>
            <w:r w:rsidRPr="007737C2">
              <w:t>Свидетельство о регистрации № РЗН 2023/20862 от 18.08.2023 г.</w:t>
            </w:r>
          </w:p>
        </w:tc>
      </w:tr>
    </w:tbl>
    <w:p w:rsidR="00017974" w:rsidRPr="00017974" w:rsidRDefault="00017974" w:rsidP="00017974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171450</wp:posOffset>
            </wp:positionV>
            <wp:extent cx="4215765" cy="31273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.-foto-Caresens-Du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817" w:rsidRDefault="007A4817" w:rsidP="007A4817">
      <w:pPr>
        <w:ind w:firstLine="720"/>
      </w:pPr>
      <w:r>
        <w:t>Система мониторинга (анализатор) CareSens Dual для определения уровня β-кетонов в образце цельной крови и уровня глюкозы в крови неквалифицированными пользователями.</w:t>
      </w:r>
    </w:p>
    <w:p w:rsidR="007A4817" w:rsidRDefault="007A4817" w:rsidP="007A4817">
      <w:pPr>
        <w:ind w:firstLine="720"/>
      </w:pPr>
      <w:r>
        <w:t>При использовании CareSens Dual перед измерениями предварительного кодирования тест-полосок не требуется.</w:t>
      </w:r>
    </w:p>
    <w:p w:rsidR="00D23F5B" w:rsidRDefault="00D23F5B" w:rsidP="00D23F5B">
      <w:pPr>
        <w:ind w:firstLine="720"/>
      </w:pPr>
      <w:r>
        <w:t>Система CareSens Dual предназначена для количественной диагностики in vitro (вне тела).</w:t>
      </w:r>
    </w:p>
    <w:p w:rsidR="00D23F5B" w:rsidRDefault="00D23F5B" w:rsidP="00D23F5B">
      <w:pPr>
        <w:ind w:firstLine="720"/>
      </w:pPr>
      <w:r>
        <w:t xml:space="preserve">Результаты теста система CareSens Dual может направить на смартфон в мобильное приложение </w:t>
      </w:r>
      <w:proofErr w:type="spellStart"/>
      <w:r>
        <w:t>SmartLog</w:t>
      </w:r>
      <w:proofErr w:type="spellEnd"/>
      <w:r>
        <w:t xml:space="preserve"> для последующего анализа и передачи лечащему врачу.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Повышение уровня кетоновых тел (β-кетонов) в крови является признаком диабетического кетоацидоза. Так же выделяют недиабетический кетоацидоз. Кетоацидоз любой этиологии является признаком недостатка инсулина и патологически высокой концентрации глюкозы в крови.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 xml:space="preserve">Наиболее частой причиной </w:t>
      </w:r>
      <w:proofErr w:type="gramStart"/>
      <w:r>
        <w:t>развития</w:t>
      </w:r>
      <w:proofErr w:type="gramEnd"/>
      <w:r>
        <w:t xml:space="preserve"> выраженного кетоацидоза является сахарный диабет 1-го типа. Диабетический кетоацидоз возникает из-за абсолютного или относительного дефицита инсулина, который развивается в течение нескольких часов или нескольких дней.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У больных, получающих инъекции инсулина, причинами кетоацидоза могут быть: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1. неправильный подбор доз инсулина (назначение слишком малых доз инсулина);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2. нарушение режима введения инсулина (пропуск инъекций, просроченный препарат инсулина);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3. резкое повышение потребности в инсулине в следующих случаях: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 xml:space="preserve">a)     беременность (в том числе на начальных сроках); 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lastRenderedPageBreak/>
        <w:t>b)     инфаркт миокарда, инсульт;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c)     травмы и/или хирургические вмешательства;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d)     скрытые и манифестирующие заболевания: сепсис, уросепсис, пневмония, инфекции верхних дыхательных путей, инфекции мочевых путей, менингит, синуситы, периодонтит, холецистит, панкреатит; парапроктит;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e)     эндокринные нарушения: тиреотоксикоз, синдром Кушинга, акромегалия, феохромоцитома;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f)      медикаментозная терапия: глюкокортикоиды, эстрогены (в том числе и гормональные контрацептивы);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g)     стресс, особенно в подростковом периоде.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 xml:space="preserve">Во всех вышеперечисленных случаях увеличение потребности в инсулине обусловлено усиленной секрецией контринсулярных гормонов — адреналина (норадреналина), кортизола, глюкагона, СТГ, а также инсулинорезистентностью — снижением чувствительности тканей к действию инсулина. Это приводит к тяжелому </w:t>
      </w:r>
      <w:proofErr w:type="spellStart"/>
      <w:r>
        <w:t>кетоацидозу</w:t>
      </w:r>
      <w:proofErr w:type="spellEnd"/>
      <w:r>
        <w:t>, который на ранних стадиях может быть выявлен с использованием тест-полосок KetoSens системы мониторинга CareSens Dual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При использовании CareSens Dual перед измерениями предварительного кодирования тест-полосок не требуется.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 xml:space="preserve">Система мониторинга CareSens Dual для количественного определения уровня β-кетонов или уровня глюкозы в образце цельной крови поставляется в богатой комплектации. 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 xml:space="preserve">Систему мониторинга CareSens Dual для определения уровня β-кетонов и уровня глюкозы в крови следует использовать с тест-полосками KetoSens для определения уровня кетоновых тел </w:t>
      </w:r>
    </w:p>
    <w:p w:rsidR="00D23F5B" w:rsidRDefault="00D23F5B" w:rsidP="00D23F5B">
      <w:pPr>
        <w:ind w:firstLine="720"/>
      </w:pPr>
      <w:r>
        <w:t>(β- кетонов) и тест-полосками CareSens PRO для количественного определения уровня глюкозы.</w:t>
      </w:r>
    </w:p>
    <w:p w:rsidR="00D23F5B" w:rsidRDefault="00D23F5B" w:rsidP="00D23F5B">
      <w:pPr>
        <w:ind w:firstLine="720"/>
      </w:pPr>
    </w:p>
    <w:p w:rsidR="00D23F5B" w:rsidRDefault="00D23F5B" w:rsidP="00D23F5B">
      <w:pPr>
        <w:ind w:firstLine="720"/>
      </w:pPr>
      <w:r>
        <w:t>Тест-полоски других производителей не подойдут к системе мониторинга CareSens Dual.</w:t>
      </w:r>
    </w:p>
    <w:p w:rsidR="00057E45" w:rsidRDefault="00057E45" w:rsidP="007A4817">
      <w:pPr>
        <w:ind w:firstLine="720"/>
      </w:pPr>
    </w:p>
    <w:p w:rsidR="00D23F5B" w:rsidRDefault="00D23F5B" w:rsidP="007A4817">
      <w:pPr>
        <w:ind w:firstLine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</w:tblGrid>
      <w:tr w:rsidR="007A4817" w:rsidRPr="007A4817" w:rsidTr="00AE4282">
        <w:trPr>
          <w:trHeight w:val="465"/>
        </w:trPr>
        <w:tc>
          <w:tcPr>
            <w:tcW w:w="25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Наименование модели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CareSens Dual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lang w:eastAsia="ru-RU"/>
              </w:rPr>
              <w:t>Измеряемые параметры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>
              <w:t>уровень β-кетонов в крови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817" w:rsidRDefault="007A4817" w:rsidP="00AE4282">
            <w:pPr>
              <w:widowControl/>
              <w:autoSpaceDE/>
              <w:autoSpaceDN/>
            </w:pPr>
            <w:r>
              <w:t>уровень глюкозы в крови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Страна производства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Корея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Производитель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 i-SENS  Inc.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Метод измерения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электрохимический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Кодирование</w:t>
            </w:r>
            <w:r>
              <w:rPr>
                <w:rFonts w:asciiTheme="minorHAnsi" w:eastAsia="Times New Roman" w:hAnsiTheme="minorHAnsi" w:cs="Times New Roman"/>
                <w:lang w:eastAsia="ru-RU"/>
              </w:rPr>
              <w:t xml:space="preserve"> тест-полосок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не требуется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Калибровка результата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по плазме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Объём крови на одно измерение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0,5 мкл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Объём памяти</w:t>
            </w:r>
            <w:r>
              <w:rPr>
                <w:rFonts w:asciiTheme="minorHAnsi" w:eastAsia="Times New Roman" w:hAnsiTheme="minorHAnsi" w:cs="Times New Roman"/>
                <w:lang w:eastAsia="ru-RU"/>
              </w:rPr>
              <w:t xml:space="preserve"> анализатора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1 000 измерений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lastRenderedPageBreak/>
              <w:t>Время теста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8,0 с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Вычисление среднего результата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Наличие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Возможность подключения к персональному компьютеру</w:t>
            </w:r>
          </w:p>
        </w:tc>
        <w:tc>
          <w:tcPr>
            <w:tcW w:w="2500" w:type="pct"/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Наличие</w:t>
            </w:r>
          </w:p>
        </w:tc>
      </w:tr>
      <w:tr w:rsidR="007A4817" w:rsidRPr="007A4817" w:rsidTr="00F11F88">
        <w:trPr>
          <w:trHeight w:val="465"/>
        </w:trPr>
        <w:tc>
          <w:tcPr>
            <w:tcW w:w="2500" w:type="pct"/>
            <w:shd w:val="clear" w:color="auto" w:fill="C6D9F1" w:themeFill="text2" w:themeFillTint="33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proofErr w:type="spellStart"/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Возможноть</w:t>
            </w:r>
            <w:proofErr w:type="spellEnd"/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 xml:space="preserve"> подключения к смартфону</w:t>
            </w:r>
          </w:p>
        </w:tc>
        <w:tc>
          <w:tcPr>
            <w:tcW w:w="2500" w:type="pct"/>
            <w:shd w:val="clear" w:color="auto" w:fill="C6D9F1" w:themeFill="text2" w:themeFillTint="33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Наличие</w:t>
            </w:r>
          </w:p>
        </w:tc>
      </w:tr>
      <w:tr w:rsidR="007A4817" w:rsidRPr="007A4817" w:rsidTr="00F11F88">
        <w:trPr>
          <w:trHeight w:val="465"/>
        </w:trPr>
        <w:tc>
          <w:tcPr>
            <w:tcW w:w="2500" w:type="pct"/>
            <w:shd w:val="clear" w:color="auto" w:fill="D6E3BC" w:themeFill="accent3" w:themeFillTint="66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Мобильное приложение</w:t>
            </w:r>
          </w:p>
        </w:tc>
        <w:tc>
          <w:tcPr>
            <w:tcW w:w="2500" w:type="pct"/>
            <w:shd w:val="clear" w:color="auto" w:fill="D6E3BC" w:themeFill="accent3" w:themeFillTint="66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Наличие</w:t>
            </w:r>
            <w:r w:rsidR="00F11F88">
              <w:rPr>
                <w:rFonts w:asciiTheme="minorHAnsi" w:eastAsia="Times New Roman" w:hAnsiTheme="minorHAnsi" w:cs="Times New Roman"/>
                <w:lang w:eastAsia="ru-RU"/>
              </w:rPr>
              <w:t xml:space="preserve">   </w:t>
            </w:r>
            <w:hyperlink r:id="rId8" w:history="1">
              <w:r w:rsidR="00F11F88" w:rsidRPr="0033167A">
                <w:rPr>
                  <w:rStyle w:val="a6"/>
                  <w:rFonts w:asciiTheme="minorHAnsi" w:eastAsia="Times New Roman" w:hAnsiTheme="minorHAnsi" w:cs="Times New Roman"/>
                  <w:lang w:eastAsia="ru-RU"/>
                </w:rPr>
                <w:t>https://i-sens.com/smartlog-mobile/</w:t>
              </w:r>
            </w:hyperlink>
            <w:r w:rsidR="00F11F88">
              <w:rPr>
                <w:rFonts w:asciiTheme="minorHAnsi" w:eastAsia="Times New Roman" w:hAnsiTheme="minorHAnsi" w:cs="Times New Roman"/>
                <w:lang w:eastAsia="ru-RU"/>
              </w:rPr>
              <w:t xml:space="preserve"> </w:t>
            </w:r>
          </w:p>
        </w:tc>
      </w:tr>
      <w:tr w:rsidR="007A4817" w:rsidRPr="007A4817" w:rsidTr="00AE4282">
        <w:trPr>
          <w:trHeight w:val="465"/>
        </w:trPr>
        <w:tc>
          <w:tcPr>
            <w:tcW w:w="25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Количество батареек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2</w:t>
            </w:r>
          </w:p>
        </w:tc>
      </w:tr>
      <w:tr w:rsidR="00AE4282" w:rsidRPr="007A4817" w:rsidTr="00AE4282">
        <w:trPr>
          <w:trHeight w:val="46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Дополнительные функции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будильник</w:t>
            </w:r>
          </w:p>
        </w:tc>
      </w:tr>
      <w:tr w:rsidR="00AE4282" w:rsidRPr="007A4817" w:rsidTr="00AE4282">
        <w:trPr>
          <w:trHeight w:val="465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пометка о приеме пищи</w:t>
            </w:r>
          </w:p>
        </w:tc>
      </w:tr>
      <w:tr w:rsidR="00AE4282" w:rsidRPr="007A4817" w:rsidTr="00AE4282">
        <w:trPr>
          <w:trHeight w:val="465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автоматическое отключение</w:t>
            </w:r>
          </w:p>
        </w:tc>
      </w:tr>
      <w:tr w:rsidR="007A4817" w:rsidRPr="007A4817" w:rsidTr="00AE4282">
        <w:trPr>
          <w:trHeight w:val="870"/>
        </w:trPr>
        <w:tc>
          <w:tcPr>
            <w:tcW w:w="25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анализ с использованием крови из альтернативных мест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4817" w:rsidRPr="007A4817" w:rsidRDefault="007A4817" w:rsidP="00AE4282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eastAsia="ru-RU"/>
              </w:rPr>
            </w:pPr>
            <w:r w:rsidRPr="007A4817">
              <w:rPr>
                <w:rFonts w:asciiTheme="minorHAnsi" w:eastAsia="Times New Roman" w:hAnsiTheme="minorHAnsi" w:cs="Times New Roman"/>
                <w:lang w:eastAsia="ru-RU"/>
              </w:rPr>
              <w:t>анализ с использованием крови из альтернативных мест (из бедра, из предплечья, из подушечки ладони)</w:t>
            </w:r>
          </w:p>
        </w:tc>
      </w:tr>
    </w:tbl>
    <w:p w:rsidR="007A4817" w:rsidRDefault="007A4817" w:rsidP="00AE4282"/>
    <w:p w:rsidR="00D23F5B" w:rsidRDefault="00D23F5B" w:rsidP="00D23F5B">
      <w:r>
        <w:t xml:space="preserve">В комплект поставки входит: </w:t>
      </w:r>
    </w:p>
    <w:p w:rsidR="00D23F5B" w:rsidRDefault="00D23F5B" w:rsidP="00D23F5B"/>
    <w:p w:rsidR="00D23F5B" w:rsidRDefault="00D23F5B" w:rsidP="00D23F5B">
      <w:r>
        <w:t>Измеритель для измерения уровня β- кетонов и глюкозы в крови CareSens Dual - 1 шт.</w:t>
      </w:r>
    </w:p>
    <w:p w:rsidR="00D23F5B" w:rsidRDefault="00D23F5B" w:rsidP="00D23F5B">
      <w:r>
        <w:t>Тест-полоски CareSens PRO для количественного определения уровня глюкозы в образце цельной крови - 10 шт.</w:t>
      </w:r>
    </w:p>
    <w:p w:rsidR="00D23F5B" w:rsidRDefault="00D23F5B" w:rsidP="00D23F5B">
      <w:r>
        <w:t>Ланцеты - 10 шт.</w:t>
      </w:r>
    </w:p>
    <w:p w:rsidR="00D23F5B" w:rsidRDefault="00D23F5B" w:rsidP="00D23F5B">
      <w:r>
        <w:t>Прокалывающее устройство CareSoft - 1 шт.</w:t>
      </w:r>
    </w:p>
    <w:p w:rsidR="00D23F5B" w:rsidRDefault="00D23F5B" w:rsidP="00D23F5B">
      <w:r>
        <w:t>Батарея CR 2032 - 2 шт.</w:t>
      </w:r>
    </w:p>
    <w:p w:rsidR="00D23F5B" w:rsidRDefault="00D23F5B" w:rsidP="00D23F5B">
      <w:r>
        <w:t>Руководство пользователя - 1 шт.</w:t>
      </w:r>
    </w:p>
    <w:p w:rsidR="00D23F5B" w:rsidRDefault="00D23F5B" w:rsidP="00D23F5B">
      <w:r>
        <w:t>Журнал учёта измерений - 1 шт.</w:t>
      </w:r>
    </w:p>
    <w:p w:rsidR="00D23F5B" w:rsidRDefault="00D23F5B" w:rsidP="00D23F5B">
      <w:r>
        <w:t>Чехол с застежкой-молнией - 1 шт.</w:t>
      </w:r>
    </w:p>
    <w:p w:rsidR="00D23F5B" w:rsidRDefault="00D23F5B" w:rsidP="00D23F5B">
      <w:r>
        <w:t xml:space="preserve">Тест-полоски KetoSens необходимо докупать отдельно.  </w:t>
      </w:r>
    </w:p>
    <w:p w:rsidR="00D23F5B" w:rsidRDefault="00D23F5B" w:rsidP="00D23F5B"/>
    <w:p w:rsidR="00D23F5B" w:rsidRDefault="00D23F5B" w:rsidP="00D23F5B">
      <w:r>
        <w:t>В базовый комплект KetoSens не входят.</w:t>
      </w:r>
      <w:bookmarkStart w:id="0" w:name="_GoBack"/>
      <w:bookmarkEnd w:id="0"/>
    </w:p>
    <w:sectPr w:rsidR="00D23F5B" w:rsidSect="00CA757D">
      <w:headerReference w:type="default" r:id="rId9"/>
      <w:pgSz w:w="11910" w:h="16840"/>
      <w:pgMar w:top="680" w:right="5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30" w:rsidRDefault="00067730" w:rsidP="00682837">
      <w:r>
        <w:separator/>
      </w:r>
    </w:p>
  </w:endnote>
  <w:endnote w:type="continuationSeparator" w:id="0">
    <w:p w:rsidR="00067730" w:rsidRDefault="00067730" w:rsidP="0068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em">
    <w:panose1 w:val="020B0503020203020204"/>
    <w:charset w:val="00"/>
    <w:family w:val="swiss"/>
    <w:notTrueType/>
    <w:pitch w:val="variable"/>
    <w:sig w:usb0="A00002FF" w:usb1="5000204B" w:usb2="00000024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30" w:rsidRDefault="00067730" w:rsidP="00682837">
      <w:r>
        <w:separator/>
      </w:r>
    </w:p>
  </w:footnote>
  <w:footnote w:type="continuationSeparator" w:id="0">
    <w:p w:rsidR="00067730" w:rsidRDefault="00067730" w:rsidP="0068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82837" w:rsidRPr="00682837" w:rsidTr="009B5E79">
      <w:tc>
        <w:tcPr>
          <w:tcW w:w="3115" w:type="dxa"/>
        </w:tcPr>
        <w:p w:rsidR="00682837" w:rsidRPr="00682837" w:rsidRDefault="00682837" w:rsidP="00682837">
          <w:pPr>
            <w:suppressLineNumbers/>
            <w:tabs>
              <w:tab w:val="center" w:pos="4677"/>
              <w:tab w:val="right" w:pos="9355"/>
            </w:tabs>
            <w:suppressAutoHyphens/>
            <w:rPr>
              <w:rFonts w:eastAsia="Times New Roman" w:cs="Times New Roman"/>
              <w:kern w:val="1"/>
              <w:lang w:eastAsia="ar-SA"/>
            </w:rPr>
          </w:pPr>
          <w:r w:rsidRPr="00682837">
            <w:rPr>
              <w:rFonts w:eastAsia="Times New Roman" w:cs="Times New Roman"/>
              <w:noProof/>
              <w:kern w:val="1"/>
            </w:rPr>
            <w:drawing>
              <wp:anchor distT="0" distB="0" distL="114300" distR="114300" simplePos="0" relativeHeight="251659264" behindDoc="0" locked="0" layoutInCell="1" allowOverlap="1" wp14:anchorId="719CE4E5" wp14:editId="2B06247F">
                <wp:simplePos x="0" y="0"/>
                <wp:positionH relativeFrom="column">
                  <wp:posOffset>-74890</wp:posOffset>
                </wp:positionH>
                <wp:positionV relativeFrom="paragraph">
                  <wp:posOffset>20385</wp:posOffset>
                </wp:positionV>
                <wp:extent cx="1683195" cy="513528"/>
                <wp:effectExtent l="0" t="0" r="0" b="127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525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707944" cy="521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5" w:type="dxa"/>
        </w:tcPr>
        <w:p w:rsidR="00682837" w:rsidRPr="00682837" w:rsidRDefault="00682837" w:rsidP="00682837">
          <w:pPr>
            <w:suppressAutoHyphens/>
            <w:rPr>
              <w:rFonts w:ascii="Stem" w:eastAsia="Times New Roman" w:hAnsi="Stem" w:cs="Times New Roman"/>
              <w:kern w:val="1"/>
              <w:lang w:eastAsia="ar-SA"/>
            </w:rPr>
          </w:pPr>
          <w:r w:rsidRPr="00682837">
            <w:rPr>
              <w:rFonts w:ascii="Stem" w:eastAsia="Times New Roman" w:hAnsi="Stem" w:cs="Times New Roman"/>
              <w:kern w:val="1"/>
              <w:lang w:eastAsia="ar-SA"/>
            </w:rPr>
            <w:t>115230, г. Москва, Варшавское шоссе, д. 47, корп. 4, эт. 12, пом. ХХ, ком. 1Т, БЦ «Технопарк-Навигатор»</w:t>
          </w:r>
        </w:p>
      </w:tc>
      <w:tc>
        <w:tcPr>
          <w:tcW w:w="3115" w:type="dxa"/>
        </w:tcPr>
        <w:p w:rsidR="00682837" w:rsidRPr="00682837" w:rsidRDefault="00682837" w:rsidP="00682837">
          <w:pPr>
            <w:suppressAutoHyphens/>
            <w:jc w:val="right"/>
            <w:rPr>
              <w:rFonts w:ascii="Stem" w:eastAsia="Times New Roman" w:hAnsi="Stem" w:cs="Times New Roman"/>
              <w:kern w:val="1"/>
              <w:lang w:eastAsia="ar-SA"/>
            </w:rPr>
          </w:pPr>
          <w:r w:rsidRPr="00682837">
            <w:rPr>
              <w:rFonts w:ascii="Stem" w:eastAsia="Times New Roman" w:hAnsi="Stem" w:cs="Times New Roman"/>
              <w:kern w:val="1"/>
              <w:lang w:eastAsia="ar-SA"/>
            </w:rPr>
            <w:t>+7 499 270-70-72</w:t>
          </w:r>
          <w:r w:rsidRPr="00682837">
            <w:rPr>
              <w:rFonts w:ascii="Stem" w:eastAsia="Times New Roman" w:hAnsi="Stem" w:cs="Times New Roman"/>
              <w:kern w:val="1"/>
              <w:lang w:eastAsia="ar-SA"/>
            </w:rPr>
            <w:br/>
            <w:t>info@ordamed.ru</w:t>
          </w:r>
          <w:r w:rsidRPr="00682837">
            <w:rPr>
              <w:rFonts w:ascii="Stem" w:eastAsia="Times New Roman" w:hAnsi="Stem" w:cs="Times New Roman"/>
              <w:kern w:val="1"/>
              <w:lang w:eastAsia="ar-SA"/>
            </w:rPr>
            <w:br/>
            <w:t>ordamed.ru</w:t>
          </w:r>
        </w:p>
      </w:tc>
    </w:tr>
  </w:tbl>
  <w:p w:rsidR="00682837" w:rsidRDefault="006828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655"/>
    <w:multiLevelType w:val="multilevel"/>
    <w:tmpl w:val="D2189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27"/>
    <w:rsid w:val="00017974"/>
    <w:rsid w:val="00057E45"/>
    <w:rsid w:val="00067730"/>
    <w:rsid w:val="001E1FF5"/>
    <w:rsid w:val="0020190F"/>
    <w:rsid w:val="002578A1"/>
    <w:rsid w:val="00261766"/>
    <w:rsid w:val="002B4427"/>
    <w:rsid w:val="002D26B3"/>
    <w:rsid w:val="003341D1"/>
    <w:rsid w:val="003D5A61"/>
    <w:rsid w:val="004301C6"/>
    <w:rsid w:val="00446AC1"/>
    <w:rsid w:val="00487E91"/>
    <w:rsid w:val="004B212F"/>
    <w:rsid w:val="00587516"/>
    <w:rsid w:val="005F1237"/>
    <w:rsid w:val="00682837"/>
    <w:rsid w:val="006F2088"/>
    <w:rsid w:val="007737C2"/>
    <w:rsid w:val="00795127"/>
    <w:rsid w:val="007A4817"/>
    <w:rsid w:val="007D7C9B"/>
    <w:rsid w:val="007F50AD"/>
    <w:rsid w:val="008822B9"/>
    <w:rsid w:val="00897FCC"/>
    <w:rsid w:val="008D2A60"/>
    <w:rsid w:val="0094581D"/>
    <w:rsid w:val="00975E89"/>
    <w:rsid w:val="009955A1"/>
    <w:rsid w:val="009A68DD"/>
    <w:rsid w:val="009B5FF8"/>
    <w:rsid w:val="00A25DA7"/>
    <w:rsid w:val="00A313DE"/>
    <w:rsid w:val="00A40D5F"/>
    <w:rsid w:val="00AD1203"/>
    <w:rsid w:val="00AE4282"/>
    <w:rsid w:val="00AF5D77"/>
    <w:rsid w:val="00B10C03"/>
    <w:rsid w:val="00B37939"/>
    <w:rsid w:val="00B65AC4"/>
    <w:rsid w:val="00B87A9B"/>
    <w:rsid w:val="00B91476"/>
    <w:rsid w:val="00C62FC3"/>
    <w:rsid w:val="00C662F6"/>
    <w:rsid w:val="00CA757D"/>
    <w:rsid w:val="00D23F5B"/>
    <w:rsid w:val="00D727FA"/>
    <w:rsid w:val="00E80E8B"/>
    <w:rsid w:val="00ED42E1"/>
    <w:rsid w:val="00F11F88"/>
    <w:rsid w:val="00F642C4"/>
    <w:rsid w:val="00FA0BD7"/>
    <w:rsid w:val="00FC5C13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AA0A1"/>
  <w15:docId w15:val="{5A8DB274-BD1F-4C76-8037-9C5E982F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D727FA"/>
    <w:pPr>
      <w:spacing w:before="293" w:after="34"/>
      <w:ind w:left="127"/>
      <w:outlineLvl w:val="0"/>
    </w:pPr>
    <w:rPr>
      <w:b/>
      <w:color w:val="1F487C"/>
      <w:sz w:val="56"/>
      <w:szCs w:val="5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80E8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autoRedefine/>
    <w:uiPriority w:val="1"/>
    <w:qFormat/>
    <w:rsid w:val="002578A1"/>
  </w:style>
  <w:style w:type="paragraph" w:styleId="a4">
    <w:name w:val="Title"/>
    <w:basedOn w:val="a"/>
    <w:uiPriority w:val="1"/>
    <w:qFormat/>
    <w:pPr>
      <w:spacing w:line="505" w:lineRule="exact"/>
      <w:ind w:left="1972" w:right="213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0"/>
      <w:ind w:left="107"/>
    </w:pPr>
  </w:style>
  <w:style w:type="character" w:styleId="a6">
    <w:name w:val="Hyperlink"/>
    <w:basedOn w:val="a0"/>
    <w:uiPriority w:val="99"/>
    <w:unhideWhenUsed/>
    <w:rsid w:val="00A40D5F"/>
    <w:rPr>
      <w:color w:val="0000FF" w:themeColor="hyperlink"/>
      <w:u w:val="single"/>
    </w:rPr>
  </w:style>
  <w:style w:type="paragraph" w:customStyle="1" w:styleId="Default">
    <w:name w:val="Default"/>
    <w:rsid w:val="00FD07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CA75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7FA"/>
    <w:rPr>
      <w:rFonts w:ascii="Calibri" w:eastAsia="Calibri" w:hAnsi="Calibri" w:cs="Calibri"/>
      <w:b/>
      <w:color w:val="1F487C"/>
      <w:sz w:val="56"/>
      <w:szCs w:val="5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80E8B"/>
    <w:rPr>
      <w:rFonts w:asciiTheme="majorHAnsi" w:eastAsiaTheme="majorEastAsia" w:hAnsiTheme="majorHAnsi" w:cstheme="majorBidi"/>
      <w:b/>
      <w:color w:val="000000" w:themeColor="text1"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6828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37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6828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37"/>
    <w:rPr>
      <w:rFonts w:ascii="Calibri" w:eastAsia="Calibri" w:hAnsi="Calibri" w:cs="Calibri"/>
      <w:lang w:val="ru-RU"/>
    </w:rPr>
  </w:style>
  <w:style w:type="table" w:customStyle="1" w:styleId="11">
    <w:name w:val="Сетка таблицы1"/>
    <w:basedOn w:val="a1"/>
    <w:next w:val="ac"/>
    <w:uiPriority w:val="39"/>
    <w:rsid w:val="0068283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8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sens.com/smartlog-mobi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 Степан (старый)</dc:creator>
  <cp:lastModifiedBy>ОРДАМЕД</cp:lastModifiedBy>
  <cp:revision>4</cp:revision>
  <dcterms:created xsi:type="dcterms:W3CDTF">2024-04-24T07:06:00Z</dcterms:created>
  <dcterms:modified xsi:type="dcterms:W3CDTF">2024-04-24T07:26:00Z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